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2550" w14:textId="77777777" w:rsidR="00FD5E77" w:rsidRPr="000D1A3E" w:rsidRDefault="00D12237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STŠ Frana Bošnjakovića</w:t>
      </w:r>
    </w:p>
    <w:p w14:paraId="273E4AD3" w14:textId="77777777" w:rsidR="00D12237" w:rsidRPr="000D1A3E" w:rsidRDefault="00D12237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OIB 36897616904</w:t>
      </w:r>
    </w:p>
    <w:p w14:paraId="1BC9558C" w14:textId="77777777" w:rsidR="00FD5E77" w:rsidRPr="000D1A3E" w:rsidRDefault="0062430A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 xml:space="preserve">RKP: </w:t>
      </w:r>
      <w:r w:rsidR="00D12237" w:rsidRPr="000D1A3E">
        <w:rPr>
          <w:rFonts w:cstheme="minorHAnsi"/>
          <w:sz w:val="24"/>
          <w:szCs w:val="24"/>
        </w:rPr>
        <w:t>16787</w:t>
      </w:r>
    </w:p>
    <w:p w14:paraId="15E3ADFC" w14:textId="77777777" w:rsidR="00FD5E77" w:rsidRPr="000D1A3E" w:rsidRDefault="00FD5E77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ŠIFRA DJELATNOSTI: 80220</w:t>
      </w:r>
    </w:p>
    <w:p w14:paraId="5A965305" w14:textId="77777777" w:rsidR="00FD5E77" w:rsidRPr="000D1A3E" w:rsidRDefault="00FD5E77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RAZINA: 31</w:t>
      </w:r>
    </w:p>
    <w:p w14:paraId="53FBC2AD" w14:textId="77777777" w:rsidR="00FD5E77" w:rsidRPr="000D1A3E" w:rsidRDefault="00FD5E77" w:rsidP="00FD5E77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RAZDJEL: 09</w:t>
      </w:r>
    </w:p>
    <w:p w14:paraId="7C685B35" w14:textId="77777777" w:rsidR="00AA725F" w:rsidRPr="000D1A3E" w:rsidRDefault="00AA725F" w:rsidP="00E14CF3">
      <w:pPr>
        <w:spacing w:after="0"/>
        <w:rPr>
          <w:rFonts w:cstheme="minorHAnsi"/>
          <w:sz w:val="24"/>
          <w:szCs w:val="24"/>
        </w:rPr>
      </w:pPr>
    </w:p>
    <w:p w14:paraId="4A8003D4" w14:textId="6836650B" w:rsidR="00AA725F" w:rsidRPr="000D1A3E" w:rsidRDefault="00D12237" w:rsidP="00E14CF3">
      <w:pPr>
        <w:spacing w:after="0"/>
        <w:rPr>
          <w:rFonts w:cstheme="minorHAnsi"/>
          <w:sz w:val="24"/>
          <w:szCs w:val="24"/>
        </w:rPr>
      </w:pPr>
      <w:r w:rsidRPr="000D1A3E">
        <w:rPr>
          <w:rFonts w:cstheme="minorHAnsi"/>
          <w:sz w:val="24"/>
          <w:szCs w:val="24"/>
        </w:rPr>
        <w:t>Zagreb</w:t>
      </w:r>
      <w:r w:rsidR="00A54C7D" w:rsidRPr="000D1A3E">
        <w:rPr>
          <w:rFonts w:cstheme="minorHAnsi"/>
          <w:sz w:val="24"/>
          <w:szCs w:val="24"/>
        </w:rPr>
        <w:t xml:space="preserve">, </w:t>
      </w:r>
      <w:r w:rsidR="00700EB5" w:rsidRPr="000D1A3E">
        <w:rPr>
          <w:rFonts w:cstheme="minorHAnsi"/>
          <w:sz w:val="24"/>
          <w:szCs w:val="24"/>
        </w:rPr>
        <w:t>20.02.2025</w:t>
      </w:r>
      <w:r w:rsidR="00AA725F" w:rsidRPr="000D1A3E">
        <w:rPr>
          <w:rFonts w:cstheme="minorHAnsi"/>
          <w:sz w:val="24"/>
          <w:szCs w:val="24"/>
        </w:rPr>
        <w:t>.</w:t>
      </w:r>
    </w:p>
    <w:p w14:paraId="2C1FB45C" w14:textId="77777777" w:rsidR="005E3F87" w:rsidRPr="000D1A3E" w:rsidRDefault="003A5CC6" w:rsidP="00E14CF3">
      <w:pPr>
        <w:spacing w:after="0"/>
        <w:rPr>
          <w:rFonts w:cstheme="minorHAnsi"/>
          <w:b/>
          <w:sz w:val="24"/>
          <w:szCs w:val="24"/>
        </w:rPr>
      </w:pPr>
      <w:r w:rsidRPr="000D1A3E">
        <w:rPr>
          <w:rFonts w:cstheme="minorHAnsi"/>
          <w:b/>
          <w:sz w:val="24"/>
          <w:szCs w:val="24"/>
        </w:rPr>
        <w:tab/>
      </w:r>
      <w:r w:rsidRPr="000D1A3E">
        <w:rPr>
          <w:rFonts w:cstheme="minorHAnsi"/>
          <w:b/>
          <w:sz w:val="24"/>
          <w:szCs w:val="24"/>
        </w:rPr>
        <w:tab/>
      </w:r>
    </w:p>
    <w:p w14:paraId="5756E6D1" w14:textId="77777777" w:rsidR="00113016" w:rsidRPr="000D1A3E" w:rsidRDefault="00113016" w:rsidP="00E14CF3">
      <w:pPr>
        <w:jc w:val="both"/>
        <w:rPr>
          <w:rFonts w:cstheme="minorHAnsi"/>
          <w:sz w:val="24"/>
          <w:szCs w:val="24"/>
        </w:rPr>
      </w:pPr>
    </w:p>
    <w:p w14:paraId="3BE1BF03" w14:textId="77777777" w:rsidR="00191CF2" w:rsidRPr="000D1A3E" w:rsidRDefault="00AA725F" w:rsidP="009F755D">
      <w:pPr>
        <w:jc w:val="center"/>
        <w:rPr>
          <w:rFonts w:cstheme="minorHAnsi"/>
          <w:b/>
          <w:sz w:val="24"/>
          <w:szCs w:val="24"/>
        </w:rPr>
      </w:pPr>
      <w:r w:rsidRPr="000D1A3E">
        <w:rPr>
          <w:rFonts w:cstheme="minorHAnsi"/>
          <w:b/>
          <w:sz w:val="24"/>
          <w:szCs w:val="24"/>
        </w:rPr>
        <w:t xml:space="preserve">OBRAZLOŽENJE </w:t>
      </w:r>
      <w:r w:rsidR="00700EB5" w:rsidRPr="000D1A3E">
        <w:rPr>
          <w:rFonts w:cstheme="minorHAnsi"/>
          <w:b/>
          <w:sz w:val="24"/>
          <w:szCs w:val="24"/>
        </w:rPr>
        <w:t>GODIŠNJEG</w:t>
      </w:r>
      <w:r w:rsidR="00113016" w:rsidRPr="000D1A3E">
        <w:rPr>
          <w:rFonts w:cstheme="minorHAnsi"/>
          <w:b/>
          <w:sz w:val="24"/>
          <w:szCs w:val="24"/>
        </w:rPr>
        <w:t xml:space="preserve"> IZVJEŠTAJ</w:t>
      </w:r>
      <w:r w:rsidR="00DB0C36" w:rsidRPr="000D1A3E">
        <w:rPr>
          <w:rFonts w:cstheme="minorHAnsi"/>
          <w:b/>
          <w:sz w:val="24"/>
          <w:szCs w:val="24"/>
        </w:rPr>
        <w:t>A</w:t>
      </w:r>
      <w:r w:rsidR="00113016" w:rsidRPr="000D1A3E">
        <w:rPr>
          <w:rFonts w:cstheme="minorHAnsi"/>
          <w:b/>
          <w:sz w:val="24"/>
          <w:szCs w:val="24"/>
        </w:rPr>
        <w:t xml:space="preserve"> O IZVRŠENJU FINANCIJSKOG PLANA</w:t>
      </w:r>
      <w:r w:rsidR="00E12792" w:rsidRPr="000D1A3E">
        <w:rPr>
          <w:rFonts w:cstheme="minorHAnsi"/>
          <w:b/>
          <w:sz w:val="24"/>
          <w:szCs w:val="24"/>
        </w:rPr>
        <w:t xml:space="preserve"> </w:t>
      </w:r>
      <w:r w:rsidR="00D12237" w:rsidRPr="000D1A3E">
        <w:rPr>
          <w:rFonts w:cstheme="minorHAnsi"/>
          <w:b/>
          <w:sz w:val="24"/>
          <w:szCs w:val="24"/>
        </w:rPr>
        <w:t>STROJARSKA TEHNIČKAŠKOLA FRANA BOŠNJAKOVIĆA</w:t>
      </w:r>
    </w:p>
    <w:p w14:paraId="5E699CD2" w14:textId="77777777" w:rsidR="009F755D" w:rsidRPr="000D1A3E" w:rsidRDefault="009F755D" w:rsidP="009F755D">
      <w:pPr>
        <w:jc w:val="center"/>
        <w:rPr>
          <w:rFonts w:cstheme="minorHAnsi"/>
          <w:b/>
          <w:sz w:val="24"/>
          <w:szCs w:val="24"/>
        </w:rPr>
      </w:pPr>
    </w:p>
    <w:p w14:paraId="14B2101D" w14:textId="77777777" w:rsidR="00EC31BA" w:rsidRPr="000D1A3E" w:rsidRDefault="00EC31BA" w:rsidP="00EC31B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D1A3E">
        <w:rPr>
          <w:rFonts w:cstheme="minorHAnsi"/>
          <w:b/>
          <w:sz w:val="24"/>
          <w:szCs w:val="24"/>
        </w:rPr>
        <w:t>1. OBRAZLOŽENJE OPĆEG DIJELA</w:t>
      </w:r>
    </w:p>
    <w:p w14:paraId="0E20EAA0" w14:textId="77777777" w:rsidR="00EC31BA" w:rsidRPr="000D1A3E" w:rsidRDefault="00EC31BA" w:rsidP="00EC31BA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FD5B78C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1.</w:t>
      </w:r>
      <w:r w:rsidR="00EC31BA"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1. </w:t>
      </w:r>
      <w:r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 PRIHODI </w:t>
      </w:r>
    </w:p>
    <w:p w14:paraId="64EF2AE8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4DF733" w14:textId="4A155540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Prihodi </w:t>
      </w:r>
      <w:r w:rsidR="00D12237" w:rsidRPr="000D1A3E">
        <w:rPr>
          <w:rFonts w:eastAsia="Times New Roman" w:cstheme="minorHAnsi"/>
          <w:sz w:val="24"/>
          <w:szCs w:val="24"/>
          <w:lang w:eastAsia="hr-HR"/>
        </w:rPr>
        <w:t>STŠ Frana Bošnjakovića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u razdoblj</w:t>
      </w:r>
      <w:r w:rsidR="00E12792" w:rsidRPr="000D1A3E">
        <w:rPr>
          <w:rFonts w:eastAsia="Times New Roman" w:cstheme="minorHAnsi"/>
          <w:sz w:val="24"/>
          <w:szCs w:val="24"/>
          <w:lang w:eastAsia="hr-HR"/>
        </w:rPr>
        <w:t>u siječanj –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prosinac</w:t>
      </w:r>
      <w:r w:rsidR="00E12792" w:rsidRPr="000D1A3E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815630" w:rsidRPr="000D1A3E">
        <w:rPr>
          <w:rFonts w:eastAsia="Times New Roman" w:cstheme="minorHAnsi"/>
          <w:sz w:val="24"/>
          <w:szCs w:val="24"/>
          <w:lang w:eastAsia="hr-HR"/>
        </w:rPr>
        <w:t>4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.</w:t>
      </w:r>
      <w:r w:rsidR="007131DD" w:rsidRPr="000D1A3E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ostvareni su u iznosu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1.188.708,09</w:t>
      </w:r>
      <w:r w:rsidR="00C54AE0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 što je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113,4%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od planiranog godišnjeg plana.</w:t>
      </w:r>
    </w:p>
    <w:p w14:paraId="38112F1A" w14:textId="77777777" w:rsidR="004E00A1" w:rsidRPr="000D1A3E" w:rsidRDefault="004E00A1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648CE8B" w14:textId="502CA1B6" w:rsidR="00C80950" w:rsidRPr="000D1A3E" w:rsidRDefault="004E00A1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>Pregled izvršenja pri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>hoda prema izvorima financiranja i ekonomskoj klasifikaciji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: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22852A9" w14:textId="77777777" w:rsidR="00DC0950" w:rsidRPr="000D1A3E" w:rsidRDefault="00DC0950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FF7DEA8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Prihodi poslovanja</w:t>
      </w:r>
    </w:p>
    <w:p w14:paraId="7325B4E3" w14:textId="77777777" w:rsidR="005B7EFB" w:rsidRPr="000D1A3E" w:rsidRDefault="005B7EFB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8994AD9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Prihodi poslovanja ostvareni su u </w:t>
      </w:r>
      <w:r w:rsidR="00EE41B3" w:rsidRPr="000D1A3E">
        <w:rPr>
          <w:rFonts w:eastAsia="Times New Roman" w:cstheme="minorHAnsi"/>
          <w:sz w:val="24"/>
          <w:szCs w:val="24"/>
          <w:lang w:eastAsia="hr-HR"/>
        </w:rPr>
        <w:t xml:space="preserve">iznosu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1.188.708,09</w:t>
      </w:r>
      <w:r w:rsidR="00C54AE0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i njih čine slijedeći prihodi:</w:t>
      </w:r>
    </w:p>
    <w:p w14:paraId="7BD92D56" w14:textId="2901E30D" w:rsidR="003E2C5A" w:rsidRPr="000D1A3E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Pomoći iz inozemstva i od subjekata unutar općeg proračuna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u iznosu</w:t>
      </w:r>
      <w:r w:rsidR="00EE41B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1.005.979,20 eur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 odnosno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129,3%</w:t>
      </w:r>
      <w:r w:rsidR="00E442BA" w:rsidRPr="000D1A3E">
        <w:rPr>
          <w:rFonts w:eastAsia="Times New Roman" w:cstheme="minorHAnsi"/>
          <w:sz w:val="24"/>
          <w:szCs w:val="24"/>
          <w:lang w:eastAsia="hr-HR"/>
        </w:rPr>
        <w:t xml:space="preserve"> od planiranog godišnjeg plana,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a odnose se na tekuće pomoći proračunskim korisnicima iz proračuna koji im nije nadležan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>.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55AD3985" w14:textId="1E4592E5" w:rsidR="003E2C5A" w:rsidRPr="000D1A3E" w:rsidRDefault="003E2C5A" w:rsidP="003E2C5A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Prihodi od imovine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u iznosu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49,83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koji se odnose na </w:t>
      </w:r>
      <w:r w:rsidR="00C36D97" w:rsidRPr="000D1A3E">
        <w:rPr>
          <w:rFonts w:eastAsia="Times New Roman" w:cstheme="minorHAnsi"/>
          <w:sz w:val="24"/>
          <w:szCs w:val="24"/>
          <w:lang w:eastAsia="hr-HR"/>
        </w:rPr>
        <w:t>društven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e</w:t>
      </w:r>
      <w:r w:rsidR="00C36D97" w:rsidRPr="000D1A3E">
        <w:rPr>
          <w:rFonts w:eastAsia="Times New Roman" w:cstheme="minorHAnsi"/>
          <w:sz w:val="24"/>
          <w:szCs w:val="24"/>
          <w:lang w:eastAsia="hr-HR"/>
        </w:rPr>
        <w:t xml:space="preserve"> stanov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e</w:t>
      </w:r>
      <w:r w:rsidR="00C36D97" w:rsidRPr="000D1A3E">
        <w:rPr>
          <w:rFonts w:eastAsia="Times New Roman" w:cstheme="minorHAnsi"/>
          <w:sz w:val="24"/>
          <w:szCs w:val="24"/>
          <w:lang w:eastAsia="hr-HR"/>
        </w:rPr>
        <w:t>.</w:t>
      </w:r>
    </w:p>
    <w:p w14:paraId="71849820" w14:textId="77777777" w:rsidR="00EE41B3" w:rsidRPr="000D1A3E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Prihodi od upravnih i administrativnih pristojbi, pristojbi po posebnim propisima i naknada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u iz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nosu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807,89</w:t>
      </w:r>
      <w:r w:rsidR="00EE41B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>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odnosno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11,3%</w:t>
      </w:r>
      <w:r w:rsidR="00E442BA" w:rsidRPr="000D1A3E">
        <w:rPr>
          <w:rFonts w:eastAsia="Times New Roman" w:cstheme="minorHAnsi"/>
          <w:sz w:val="24"/>
          <w:szCs w:val="24"/>
          <w:lang w:eastAsia="hr-HR"/>
        </w:rPr>
        <w:t xml:space="preserve"> od planiranog godišnjeg plana </w:t>
      </w:r>
      <w:r w:rsidRPr="000D1A3E">
        <w:rPr>
          <w:rFonts w:eastAsia="Times New Roman" w:cstheme="minorHAnsi"/>
          <w:sz w:val="24"/>
          <w:szCs w:val="24"/>
          <w:lang w:eastAsia="hr-HR"/>
        </w:rPr>
        <w:t>koji se odnose n</w:t>
      </w:r>
      <w:r w:rsidR="00FD5E77" w:rsidRPr="000D1A3E">
        <w:rPr>
          <w:rFonts w:eastAsia="Times New Roman" w:cstheme="minorHAnsi"/>
          <w:sz w:val="24"/>
          <w:szCs w:val="24"/>
          <w:lang w:eastAsia="hr-HR"/>
        </w:rPr>
        <w:t>a prihode po posebnim propisima za sufinanciranje cijene usluge, participacije i slično.</w:t>
      </w:r>
    </w:p>
    <w:p w14:paraId="06CD0AA6" w14:textId="77777777" w:rsidR="003E2C5A" w:rsidRPr="000D1A3E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Prihodi od prodaje proizvoda i robe te pruženih usluga, 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u iznosu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43.340,96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8718FB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 xml:space="preserve">odnosno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98,5</w:t>
      </w:r>
      <w:r w:rsidR="00C80950" w:rsidRPr="000D1A3E">
        <w:rPr>
          <w:rFonts w:eastAsia="Times New Roman" w:cstheme="minorHAnsi"/>
          <w:sz w:val="24"/>
          <w:szCs w:val="24"/>
          <w:lang w:eastAsia="hr-HR"/>
        </w:rPr>
        <w:t>% od planiranog godišnjeg plana.</w:t>
      </w:r>
    </w:p>
    <w:p w14:paraId="031E4213" w14:textId="77777777" w:rsidR="00EE41B3" w:rsidRPr="000D1A3E" w:rsidRDefault="003E2C5A" w:rsidP="00C809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Prihodi iz </w:t>
      </w:r>
      <w:r w:rsidR="00C36D97"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od donacija </w:t>
      </w:r>
      <w:r w:rsidR="00C36D9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u iznosu od 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11.510,00</w:t>
      </w:r>
      <w:r w:rsidR="00C36D9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eur</w:t>
      </w:r>
      <w:r w:rsidR="004A1BE8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odnosno 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84,2%</w:t>
      </w:r>
      <w:r w:rsidR="004A1BE8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od planiranog godišnjeg plana</w:t>
      </w:r>
      <w:r w:rsidR="004A1BE8" w:rsidRPr="000D1A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14:paraId="3AD9761F" w14:textId="6ED5760F" w:rsidR="00C0068C" w:rsidRPr="000D1A3E" w:rsidRDefault="00C0068C" w:rsidP="00C809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Prihodi iz nadležnog proračuna za financiranje redovne djelatnosti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u iznosu od 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97.668,78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eur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odnosno 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65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>,0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% od planiranog godišnjeg plana.</w:t>
      </w:r>
    </w:p>
    <w:p w14:paraId="439544FA" w14:textId="319C9799" w:rsidR="00C0068C" w:rsidRPr="000D1A3E" w:rsidRDefault="00C0068C" w:rsidP="00C809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lastRenderedPageBreak/>
        <w:t>Prihodi iz nadležnog</w:t>
      </w:r>
      <w:r w:rsidR="00F90943"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/>
          <w:sz w:val="24"/>
          <w:szCs w:val="24"/>
          <w:lang w:eastAsia="hr-HR"/>
        </w:rPr>
        <w:t>proračuna za financiranje rashoda za nabavu nefinancijske imo</w:t>
      </w:r>
      <w:r w:rsidR="00F90943" w:rsidRPr="000D1A3E">
        <w:rPr>
          <w:rFonts w:eastAsia="Times New Roman" w:cstheme="minorHAnsi"/>
          <w:b/>
          <w:sz w:val="24"/>
          <w:szCs w:val="24"/>
          <w:lang w:eastAsia="hr-HR"/>
        </w:rPr>
        <w:t>v</w:t>
      </w:r>
      <w:r w:rsidRPr="000D1A3E">
        <w:rPr>
          <w:rFonts w:eastAsia="Times New Roman" w:cstheme="minorHAnsi"/>
          <w:b/>
          <w:sz w:val="24"/>
          <w:szCs w:val="24"/>
          <w:lang w:eastAsia="hr-HR"/>
        </w:rPr>
        <w:t xml:space="preserve">ine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u iznosu od 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24.488,83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eur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dnosno 118,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>0</w:t>
      </w:r>
      <w:r w:rsidR="00CE7321" w:rsidRPr="000D1A3E">
        <w:rPr>
          <w:rFonts w:eastAsia="Times New Roman" w:cstheme="minorHAnsi"/>
          <w:bCs/>
          <w:sz w:val="24"/>
          <w:szCs w:val="24"/>
          <w:lang w:eastAsia="hr-HR"/>
        </w:rPr>
        <w:t>% od planiranog.</w:t>
      </w:r>
    </w:p>
    <w:p w14:paraId="731E1FCA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5B67840" w14:textId="77777777" w:rsidR="003E2C5A" w:rsidRPr="000D1A3E" w:rsidRDefault="00DC0950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1.</w:t>
      </w:r>
      <w:r w:rsidR="003E2C5A" w:rsidRPr="000D1A3E">
        <w:rPr>
          <w:rFonts w:eastAsia="Times New Roman" w:cstheme="minorHAnsi"/>
          <w:b/>
          <w:sz w:val="24"/>
          <w:szCs w:val="24"/>
          <w:lang w:eastAsia="hr-HR"/>
        </w:rPr>
        <w:t>2. RASHODI</w:t>
      </w:r>
    </w:p>
    <w:p w14:paraId="2430106F" w14:textId="77777777" w:rsidR="003E2C5A" w:rsidRPr="000D1A3E" w:rsidRDefault="003E2C5A" w:rsidP="003E2C5A">
      <w:pPr>
        <w:spacing w:after="0" w:line="276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2F33C5A" w14:textId="0E1F1E8E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Rashodi </w:t>
      </w:r>
      <w:r w:rsidR="00D12237" w:rsidRPr="000D1A3E">
        <w:rPr>
          <w:rFonts w:eastAsia="Times New Roman" w:cstheme="minorHAnsi"/>
          <w:sz w:val="24"/>
          <w:szCs w:val="24"/>
          <w:lang w:eastAsia="hr-HR"/>
        </w:rPr>
        <w:t>STŠ Frana Bošnjakovića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u razdoblju siječanj -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prosinac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20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>2</w:t>
      </w:r>
      <w:r w:rsidR="00D12237" w:rsidRPr="000D1A3E">
        <w:rPr>
          <w:rFonts w:eastAsia="Times New Roman" w:cstheme="minorHAnsi"/>
          <w:sz w:val="24"/>
          <w:szCs w:val="24"/>
          <w:lang w:eastAsia="hr-HR"/>
        </w:rPr>
        <w:t>4</w:t>
      </w:r>
      <w:r w:rsidR="007131DD" w:rsidRPr="000D1A3E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izvršeni su u iznosu</w:t>
      </w:r>
      <w:r w:rsidR="00362CAB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E7321" w:rsidRPr="000D1A3E">
        <w:rPr>
          <w:rFonts w:eastAsia="Times New Roman" w:cstheme="minorHAnsi"/>
          <w:sz w:val="24"/>
          <w:szCs w:val="24"/>
          <w:lang w:eastAsia="hr-HR"/>
        </w:rPr>
        <w:t>1.190.956,48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>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što</w:t>
      </w:r>
      <w:r w:rsidR="002C204C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C65C6" w:rsidRPr="000D1A3E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="00E34506" w:rsidRPr="000D1A3E">
        <w:rPr>
          <w:rFonts w:eastAsia="Times New Roman" w:cstheme="minorHAnsi"/>
          <w:sz w:val="24"/>
          <w:szCs w:val="24"/>
          <w:lang w:eastAsia="hr-HR"/>
        </w:rPr>
        <w:t>118,9%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od planiranog godišnjeg plana.</w:t>
      </w:r>
    </w:p>
    <w:p w14:paraId="285F3438" w14:textId="77777777" w:rsidR="00AF0D9D" w:rsidRPr="000D1A3E" w:rsidRDefault="00AF0D9D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6314EB" w14:textId="7BA19424" w:rsidR="001C65C6" w:rsidRPr="000D1A3E" w:rsidRDefault="004E00A1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Pregled rashoda </w:t>
      </w:r>
      <w:r w:rsidR="001C65C6" w:rsidRPr="000D1A3E">
        <w:rPr>
          <w:rFonts w:eastAsia="Times New Roman" w:cstheme="minorHAnsi"/>
          <w:sz w:val="24"/>
          <w:szCs w:val="24"/>
          <w:lang w:eastAsia="hr-HR"/>
        </w:rPr>
        <w:t>prema izvorima financiranja i ekonomskoj klasifikaciji:</w:t>
      </w:r>
    </w:p>
    <w:p w14:paraId="5F266DA3" w14:textId="77777777" w:rsidR="001C65C6" w:rsidRPr="000D1A3E" w:rsidRDefault="001C65C6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48E021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Rashodi poslovanja</w:t>
      </w:r>
    </w:p>
    <w:p w14:paraId="66CB2AA0" w14:textId="77777777" w:rsidR="001C65C6" w:rsidRPr="000D1A3E" w:rsidRDefault="001C65C6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B2F37C2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Rashodi poslovanja izvršeni su u iznosu </w:t>
      </w:r>
      <w:r w:rsidR="008837C3" w:rsidRPr="000D1A3E">
        <w:rPr>
          <w:rFonts w:eastAsia="Times New Roman" w:cstheme="minorHAnsi"/>
          <w:sz w:val="24"/>
          <w:szCs w:val="24"/>
          <w:lang w:eastAsia="hr-HR"/>
        </w:rPr>
        <w:t>1.190.956,48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2C204C" w:rsidRPr="000D1A3E">
        <w:rPr>
          <w:rFonts w:eastAsia="Times New Roman" w:cstheme="minorHAnsi"/>
          <w:sz w:val="24"/>
          <w:szCs w:val="24"/>
          <w:lang w:eastAsia="hr-HR"/>
        </w:rPr>
        <w:t xml:space="preserve"> ili </w:t>
      </w:r>
      <w:r w:rsidR="00981C47" w:rsidRPr="000D1A3E">
        <w:rPr>
          <w:rFonts w:eastAsia="Times New Roman" w:cstheme="minorHAnsi"/>
          <w:sz w:val="24"/>
          <w:szCs w:val="24"/>
          <w:lang w:eastAsia="hr-HR"/>
        </w:rPr>
        <w:t>118,9</w:t>
      </w:r>
      <w:r w:rsidRPr="000D1A3E">
        <w:rPr>
          <w:rFonts w:eastAsia="Times New Roman" w:cstheme="minorHAnsi"/>
          <w:sz w:val="24"/>
          <w:szCs w:val="24"/>
          <w:lang w:eastAsia="hr-HR"/>
        </w:rPr>
        <w:t>% od planiranog godišnjeg plana i njih čine slijedeći rashodi:</w:t>
      </w:r>
    </w:p>
    <w:p w14:paraId="7D7ADC13" w14:textId="3D437273" w:rsidR="003E2C5A" w:rsidRPr="000D1A3E" w:rsidRDefault="003E2C5A" w:rsidP="006D039D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Rashodi za zaposlene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u iznosu od </w:t>
      </w:r>
      <w:r w:rsidR="008837C3" w:rsidRPr="000D1A3E">
        <w:rPr>
          <w:rFonts w:eastAsia="Times New Roman" w:cstheme="minorHAnsi"/>
          <w:sz w:val="24"/>
          <w:szCs w:val="24"/>
          <w:lang w:eastAsia="hr-HR"/>
        </w:rPr>
        <w:t>1.</w:t>
      </w:r>
      <w:r w:rsidR="00F15CB1">
        <w:rPr>
          <w:rFonts w:eastAsia="Times New Roman" w:cstheme="minorHAnsi"/>
          <w:sz w:val="24"/>
          <w:szCs w:val="24"/>
          <w:lang w:eastAsia="hr-HR"/>
        </w:rPr>
        <w:t xml:space="preserve">010.690,15 </w:t>
      </w:r>
      <w:bookmarkStart w:id="0" w:name="_GoBack"/>
      <w:bookmarkEnd w:id="0"/>
      <w:r w:rsidR="00BF644A" w:rsidRPr="000D1A3E">
        <w:rPr>
          <w:rFonts w:eastAsia="Times New Roman" w:cstheme="minorHAnsi"/>
          <w:sz w:val="24"/>
          <w:szCs w:val="24"/>
          <w:lang w:eastAsia="hr-HR"/>
        </w:rPr>
        <w:t>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6D59B37E" w14:textId="0AFA3EAF" w:rsidR="003E2C5A" w:rsidRPr="000D1A3E" w:rsidRDefault="003E2C5A" w:rsidP="003E2C5A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Ova skupina rashoda sadrži bruto plaće zaposlenika, ostale rashode za zaposlene te doprinose na plaću. Rashodi za zaposlene financirani su najvećim dijelom iz proračuna MZO u </w:t>
      </w:r>
      <w:r w:rsidR="006D039D" w:rsidRPr="000D1A3E">
        <w:rPr>
          <w:rFonts w:eastAsia="Times New Roman" w:cstheme="minorHAnsi"/>
          <w:sz w:val="24"/>
          <w:szCs w:val="24"/>
          <w:lang w:eastAsia="hr-HR"/>
        </w:rPr>
        <w:t xml:space="preserve">iznosu </w:t>
      </w:r>
      <w:r w:rsidR="008837C3" w:rsidRPr="000D1A3E">
        <w:rPr>
          <w:rFonts w:eastAsia="Times New Roman" w:cstheme="minorHAnsi"/>
          <w:sz w:val="24"/>
          <w:szCs w:val="24"/>
          <w:lang w:eastAsia="hr-HR"/>
        </w:rPr>
        <w:t>1.</w:t>
      </w:r>
      <w:r w:rsidR="00F15CB1">
        <w:rPr>
          <w:rFonts w:eastAsia="Times New Roman" w:cstheme="minorHAnsi"/>
          <w:sz w:val="24"/>
          <w:szCs w:val="24"/>
          <w:lang w:eastAsia="hr-HR"/>
        </w:rPr>
        <w:t>005.439,20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a iz proračuna Grada Zagreba financirani su r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ashodi za </w:t>
      </w:r>
      <w:r w:rsidR="00815630" w:rsidRPr="000D1A3E">
        <w:rPr>
          <w:rFonts w:eastAsia="Times New Roman" w:cstheme="minorHAnsi"/>
          <w:sz w:val="24"/>
          <w:szCs w:val="24"/>
          <w:lang w:eastAsia="hr-HR"/>
        </w:rPr>
        <w:t xml:space="preserve">asistenta u nastavi </w:t>
      </w:r>
      <w:r w:rsidR="00981C47" w:rsidRPr="000D1A3E">
        <w:rPr>
          <w:rFonts w:eastAsia="Times New Roman" w:cstheme="minorHAnsi"/>
          <w:sz w:val="24"/>
          <w:szCs w:val="24"/>
          <w:lang w:eastAsia="hr-HR"/>
        </w:rPr>
        <w:t>5.250,93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81C47" w:rsidRPr="000D1A3E">
        <w:rPr>
          <w:rFonts w:eastAsia="Times New Roman" w:cstheme="minorHAnsi"/>
          <w:sz w:val="24"/>
          <w:szCs w:val="24"/>
          <w:lang w:eastAsia="hr-HR"/>
        </w:rPr>
        <w:t>eur</w:t>
      </w:r>
      <w:r w:rsidR="00815630" w:rsidRPr="000D1A3E">
        <w:rPr>
          <w:rFonts w:eastAsia="Times New Roman" w:cstheme="minorHAnsi"/>
          <w:sz w:val="24"/>
          <w:szCs w:val="24"/>
          <w:lang w:eastAsia="hr-HR"/>
        </w:rPr>
        <w:t>.</w:t>
      </w:r>
      <w:r w:rsidR="006D039D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2547ECE0" w14:textId="77777777" w:rsidR="003E2C5A" w:rsidRPr="000D1A3E" w:rsidRDefault="003E2C5A" w:rsidP="003E2C5A">
      <w:pPr>
        <w:numPr>
          <w:ilvl w:val="0"/>
          <w:numId w:val="6"/>
        </w:numPr>
        <w:spacing w:after="0" w:line="276" w:lineRule="auto"/>
        <w:ind w:left="708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Materijalni rashodi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Navedena skupina rashoda obuhvaća: naknade troškova zaposlenima (službena putovanja, naknada za prijevoz, stručno usavršavanje), rashode za materijal i energiju (uredski materijal i ostali materijalni rashodi, materijal i sirovine, energija, materijal i dijelovi za tekuće i investicijsko održavanje, sitni inventar, službena radna i zaštitna odjeća), rashode za usluge (usluge telefona i pošte, usluge tekućeg i investicijskog održavanja, usluge promidžbe, komunalne usluge, zdravstvene usluge, intelektualne usluge, računalne i ostale usluge).</w:t>
      </w:r>
    </w:p>
    <w:p w14:paraId="535709D7" w14:textId="365FF53A" w:rsidR="00981C47" w:rsidRPr="000D1A3E" w:rsidRDefault="003E2C5A" w:rsidP="00E626BA">
      <w:pPr>
        <w:shd w:val="clear" w:color="000000" w:fill="FFFFFF"/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>Materijalni rashodi financirani su najvećim dijelom iz proračuna Grada Zagreba</w:t>
      </w:r>
      <w:r w:rsidR="001C65C6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62CAB" w:rsidRPr="000D1A3E">
        <w:rPr>
          <w:rFonts w:eastAsia="Times New Roman" w:cstheme="minorHAnsi"/>
          <w:sz w:val="24"/>
          <w:szCs w:val="24"/>
          <w:lang w:eastAsia="hr-HR"/>
        </w:rPr>
        <w:t xml:space="preserve"> izvor 1.2.</w:t>
      </w:r>
      <w:r w:rsidR="000D1A3E">
        <w:rPr>
          <w:rFonts w:eastAsia="Times New Roman" w:cstheme="minorHAnsi"/>
          <w:sz w:val="24"/>
          <w:szCs w:val="24"/>
          <w:lang w:eastAsia="hr-HR"/>
        </w:rPr>
        <w:t>2.</w:t>
      </w:r>
      <w:r w:rsidR="00362CAB" w:rsidRPr="000D1A3E">
        <w:rPr>
          <w:rFonts w:eastAsia="Times New Roman" w:cstheme="minorHAnsi"/>
          <w:sz w:val="24"/>
          <w:szCs w:val="24"/>
          <w:lang w:eastAsia="hr-HR"/>
        </w:rPr>
        <w:t xml:space="preserve"> u iznosu </w:t>
      </w:r>
      <w:r w:rsidR="00981C47" w:rsidRPr="000D1A3E">
        <w:rPr>
          <w:rFonts w:eastAsia="Times New Roman" w:cstheme="minorHAnsi"/>
          <w:sz w:val="24"/>
          <w:szCs w:val="24"/>
          <w:lang w:eastAsia="hr-HR"/>
        </w:rPr>
        <w:t>97.668,78</w:t>
      </w:r>
      <w:r w:rsidR="001C65C6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 od kojih su najznačajniji rashodi za energiju u </w:t>
      </w:r>
    </w:p>
    <w:p w14:paraId="4D216D59" w14:textId="77777777" w:rsidR="00981C47" w:rsidRPr="000D1A3E" w:rsidRDefault="003E2C5A" w:rsidP="00E626BA">
      <w:pPr>
        <w:shd w:val="clear" w:color="000000" w:fill="FFFFFF"/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iznosu </w:t>
      </w:r>
      <w:r w:rsidR="00981C47" w:rsidRPr="000D1A3E">
        <w:rPr>
          <w:rFonts w:eastAsia="Times New Roman" w:cstheme="minorHAnsi"/>
          <w:sz w:val="24"/>
          <w:szCs w:val="24"/>
          <w:lang w:eastAsia="hr-HR"/>
        </w:rPr>
        <w:t>od 34.468,80 eur.</w:t>
      </w:r>
    </w:p>
    <w:p w14:paraId="166CCCEC" w14:textId="77777777" w:rsidR="00AA2F9C" w:rsidRPr="000D1A3E" w:rsidRDefault="00981C47" w:rsidP="00E626BA">
      <w:pPr>
        <w:shd w:val="clear" w:color="000000" w:fill="FFFFFF"/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Naknada </w:t>
      </w:r>
      <w:r w:rsidR="003E2C5A" w:rsidRPr="000D1A3E">
        <w:rPr>
          <w:rFonts w:eastAsia="Times New Roman" w:cstheme="minorHAnsi"/>
          <w:sz w:val="24"/>
          <w:szCs w:val="24"/>
          <w:lang w:eastAsia="hr-HR"/>
        </w:rPr>
        <w:t xml:space="preserve"> za prijevoz </w:t>
      </w:r>
      <w:r w:rsidRPr="000D1A3E">
        <w:rPr>
          <w:rFonts w:eastAsia="Times New Roman" w:cstheme="minorHAnsi"/>
          <w:sz w:val="24"/>
          <w:szCs w:val="24"/>
          <w:lang w:eastAsia="hr-HR"/>
        </w:rPr>
        <w:t>18.396,54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3C4EC2" w:rsidRPr="000D1A3E">
        <w:rPr>
          <w:rFonts w:eastAsia="Times New Roman" w:cstheme="minorHAnsi"/>
          <w:sz w:val="24"/>
          <w:szCs w:val="24"/>
          <w:lang w:eastAsia="hr-HR"/>
        </w:rPr>
        <w:t xml:space="preserve">, zdravstvene usluge u iznosu </w:t>
      </w:r>
      <w:r w:rsidR="00CE16CA" w:rsidRPr="000D1A3E">
        <w:rPr>
          <w:rFonts w:eastAsia="Times New Roman" w:cstheme="minorHAnsi"/>
          <w:sz w:val="24"/>
          <w:szCs w:val="24"/>
          <w:lang w:eastAsia="hr-HR"/>
        </w:rPr>
        <w:t>1.738,00</w:t>
      </w:r>
      <w:r w:rsidR="003C4EC2" w:rsidRPr="000D1A3E">
        <w:rPr>
          <w:rFonts w:eastAsia="Times New Roman" w:cstheme="minorHAnsi"/>
          <w:sz w:val="24"/>
          <w:szCs w:val="24"/>
          <w:lang w:eastAsia="hr-HR"/>
        </w:rPr>
        <w:t xml:space="preserve"> eur.</w:t>
      </w:r>
    </w:p>
    <w:p w14:paraId="66FE2830" w14:textId="77777777" w:rsidR="003E2C5A" w:rsidRPr="000D1A3E" w:rsidRDefault="003E2C5A" w:rsidP="00CE16C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Iz vlastitih sredstava financirani su materijalni rashodi u iznosu 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>27.408,43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CE16CA" w:rsidRPr="000D1A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14:paraId="75B15B62" w14:textId="5532B4D5" w:rsidR="00F90943" w:rsidRPr="000D1A3E" w:rsidRDefault="003E2C5A" w:rsidP="00F90943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>Sre</w:t>
      </w:r>
      <w:r w:rsidR="00E6170C" w:rsidRPr="000D1A3E">
        <w:rPr>
          <w:rFonts w:eastAsia="Times New Roman" w:cstheme="minorHAnsi"/>
          <w:sz w:val="24"/>
          <w:szCs w:val="24"/>
          <w:lang w:eastAsia="hr-HR"/>
        </w:rPr>
        <w:t>dstva su utrošena za podmirenje uredskog materijala,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sz w:val="24"/>
          <w:szCs w:val="24"/>
          <w:lang w:eastAsia="hr-HR"/>
        </w:rPr>
        <w:t xml:space="preserve">podmirenje </w:t>
      </w:r>
      <w:r w:rsidR="00E6170C" w:rsidRPr="000D1A3E">
        <w:rPr>
          <w:rFonts w:eastAsia="Times New Roman" w:cstheme="minorHAnsi"/>
          <w:sz w:val="24"/>
          <w:szCs w:val="24"/>
          <w:lang w:eastAsia="hr-HR"/>
        </w:rPr>
        <w:t>materijala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170C" w:rsidRPr="000D1A3E">
        <w:rPr>
          <w:rFonts w:eastAsia="Times New Roman" w:cstheme="minorHAnsi"/>
          <w:sz w:val="24"/>
          <w:szCs w:val="24"/>
          <w:lang w:eastAsia="hr-HR"/>
        </w:rPr>
        <w:t xml:space="preserve">za održavanje, 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 xml:space="preserve">službena radna </w:t>
      </w:r>
      <w:r w:rsidR="00E6170C" w:rsidRPr="000D1A3E">
        <w:rPr>
          <w:rFonts w:eastAsia="Times New Roman" w:cstheme="minorHAnsi"/>
          <w:sz w:val="24"/>
          <w:szCs w:val="24"/>
          <w:lang w:eastAsia="hr-HR"/>
        </w:rPr>
        <w:t>i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 xml:space="preserve"> zaštitna obuća i odjeća. Nagrade djelatnicima,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>intelektualne usluge za obrazovanje odraslih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, l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>iteratura, materijal za tekuće investicijsko održavanje</w:t>
      </w:r>
      <w:r w:rsidR="00F90943" w:rsidRPr="000D1A3E">
        <w:rPr>
          <w:rFonts w:eastAsia="Times New Roman" w:cstheme="minorHAnsi"/>
          <w:sz w:val="24"/>
          <w:szCs w:val="24"/>
          <w:lang w:eastAsia="hr-HR"/>
        </w:rPr>
        <w:t>.</w:t>
      </w:r>
    </w:p>
    <w:p w14:paraId="7BDC804B" w14:textId="77777777" w:rsidR="00F90943" w:rsidRPr="000D1A3E" w:rsidRDefault="00F90943" w:rsidP="00F9094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FAF9410" w14:textId="77777777" w:rsidR="003E2C5A" w:rsidRPr="000D1A3E" w:rsidRDefault="003E2C5A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t>Rashodi za nabavu nefinancijske imovine</w:t>
      </w:r>
    </w:p>
    <w:p w14:paraId="5DCFF544" w14:textId="77777777" w:rsidR="00CF1072" w:rsidRPr="000D1A3E" w:rsidRDefault="00CF1072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F6DCC94" w14:textId="51B0CBEB" w:rsidR="00EC31BA" w:rsidRDefault="003E2C5A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 xml:space="preserve">Rashodi za nabavu proizvedene dugotrajne imovine izvršeni su u </w:t>
      </w:r>
      <w:r w:rsidR="00417AD1" w:rsidRPr="000D1A3E">
        <w:rPr>
          <w:rFonts w:eastAsia="Times New Roman" w:cstheme="minorHAnsi"/>
          <w:sz w:val="24"/>
          <w:szCs w:val="24"/>
          <w:lang w:eastAsia="hr-HR"/>
        </w:rPr>
        <w:t xml:space="preserve">iznosu 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>22.309,61</w:t>
      </w:r>
      <w:r w:rsidR="00BF644A" w:rsidRPr="000D1A3E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5F14FD" w:rsidRPr="000D1A3E">
        <w:rPr>
          <w:rFonts w:eastAsia="Times New Roman" w:cstheme="minorHAnsi"/>
          <w:sz w:val="24"/>
          <w:szCs w:val="24"/>
          <w:lang w:eastAsia="hr-HR"/>
        </w:rPr>
        <w:t xml:space="preserve"> iz vlastitih sredstava za nabavu uredske opreme i namještaja, </w:t>
      </w:r>
      <w:r w:rsidR="00E6170C" w:rsidRPr="000D1A3E">
        <w:rPr>
          <w:rFonts w:eastAsia="Times New Roman" w:cstheme="minorHAnsi"/>
          <w:sz w:val="24"/>
          <w:szCs w:val="24"/>
          <w:lang w:eastAsia="hr-HR"/>
        </w:rPr>
        <w:t xml:space="preserve">opreme </w:t>
      </w:r>
      <w:r w:rsidR="00AE47BC" w:rsidRPr="000D1A3E">
        <w:rPr>
          <w:rFonts w:eastAsia="Times New Roman" w:cstheme="minorHAnsi"/>
          <w:sz w:val="24"/>
          <w:szCs w:val="24"/>
          <w:lang w:eastAsia="hr-HR"/>
        </w:rPr>
        <w:t>i uređaji i strojevi.</w:t>
      </w:r>
    </w:p>
    <w:p w14:paraId="068BC98C" w14:textId="77777777" w:rsidR="00FF51BC" w:rsidRPr="000D1A3E" w:rsidRDefault="00FF51BC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4DF5E7" w14:textId="77777777" w:rsidR="00621C15" w:rsidRPr="000D1A3E" w:rsidRDefault="00DC0950" w:rsidP="00EC31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b/>
          <w:sz w:val="24"/>
          <w:szCs w:val="24"/>
          <w:lang w:eastAsia="hr-HR"/>
        </w:rPr>
        <w:lastRenderedPageBreak/>
        <w:t>2</w:t>
      </w:r>
      <w:r w:rsidR="00EC31BA" w:rsidRPr="000D1A3E">
        <w:rPr>
          <w:rFonts w:eastAsia="Times New Roman" w:cstheme="minorHAnsi"/>
          <w:b/>
          <w:sz w:val="24"/>
          <w:szCs w:val="24"/>
          <w:lang w:eastAsia="hr-HR"/>
        </w:rPr>
        <w:t>. OBRAZLOŽENJE POSEBNOG DIJELA</w:t>
      </w:r>
    </w:p>
    <w:p w14:paraId="03DF51E0" w14:textId="77777777" w:rsidR="00517A1C" w:rsidRPr="000D1A3E" w:rsidRDefault="00517A1C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29549F46" w14:textId="77777777" w:rsidR="00362CAB" w:rsidRPr="000D1A3E" w:rsidRDefault="00517A1C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>Pregled izvršenja rashoda prema programu, aktivnostima i izvorima financiranja daje se u prikazu:</w:t>
      </w:r>
    </w:p>
    <w:p w14:paraId="2E6F00EF" w14:textId="77777777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5B05A9" w14:textId="73513388" w:rsidR="00EB12F5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0D1A3E">
        <w:rPr>
          <w:rFonts w:eastAsia="Times New Roman" w:cstheme="minorHAnsi"/>
          <w:sz w:val="24"/>
          <w:szCs w:val="24"/>
          <w:lang w:eastAsia="hr-HR"/>
        </w:rPr>
        <w:t>PRIHODI:</w:t>
      </w:r>
    </w:p>
    <w:p w14:paraId="4EF50859" w14:textId="3EB4A1BE" w:rsidR="009F755D" w:rsidRPr="000D1A3E" w:rsidRDefault="00997B7B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5.2.1. Pomoći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iz drugih proračuna-prihodi.</w:t>
      </w:r>
    </w:p>
    <w:p w14:paraId="294E2403" w14:textId="63195A0F" w:rsidR="00997B7B" w:rsidRPr="000D1A3E" w:rsidRDefault="00997B7B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Pomoći</w:t>
      </w:r>
      <w:r w:rsidR="00331E2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iz drugih proračuna proračunskim korisnicima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iz proračuna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koji im je nadležan, došlo je do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odstupanja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na kontu 6361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zbog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pove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>ć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anja materijalni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>h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prava za djelatnike.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Materijalna prava se odnose na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plaće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 troškove sudski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h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postupaka.</w:t>
      </w:r>
    </w:p>
    <w:p w14:paraId="5EA0D16E" w14:textId="77777777" w:rsidR="001F3A90" w:rsidRPr="000D1A3E" w:rsidRDefault="001F3A90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35C84D39" w14:textId="5A8F5CF3" w:rsidR="00997B7B" w:rsidRPr="000D1A3E" w:rsidRDefault="00997B7B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6.1.1. Donacije- proračunski korisnici-prihodi.</w:t>
      </w:r>
    </w:p>
    <w:p w14:paraId="60475E25" w14:textId="6CD1B812" w:rsidR="00331E27" w:rsidRPr="000D1A3E" w:rsidRDefault="00997B7B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Na kontu 6631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tekuće donacije došlo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je do povećanja prihoda zbog dobivenih neplaniranih</w:t>
      </w:r>
      <w:r w:rsidR="00331E2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sredstava. Sredstva su došla za maturaln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>o</w:t>
      </w:r>
      <w:r w:rsidR="00331E2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putovanj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>e</w:t>
      </w:r>
      <w:r w:rsidR="00331E2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>nastavnika</w:t>
      </w:r>
      <w:r w:rsidR="00331E27" w:rsidRPr="000D1A3E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14:paraId="2CF39480" w14:textId="612C0D58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Na kontu 6632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kapitalne donacije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d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ošlo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je do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povećanja doniranih računala.</w:t>
      </w:r>
    </w:p>
    <w:p w14:paraId="1794AAEC" w14:textId="66D2C5FF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Na kontu 6631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tekuće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donacije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Turističke zajednice Grada Zagreba koju nismo planirali dobili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smo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sredstva za pokriće troškova za učenike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koja se moraju realizirati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u skladu s Ugovorom.</w:t>
      </w:r>
    </w:p>
    <w:p w14:paraId="3D6DF0F5" w14:textId="77777777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3DC1BCF2" w14:textId="77777777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RASHODI:</w:t>
      </w:r>
    </w:p>
    <w:p w14:paraId="72980011" w14:textId="77777777" w:rsidR="009E583A" w:rsidRDefault="00331E27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3.1.1.</w:t>
      </w:r>
    </w:p>
    <w:p w14:paraId="112EEC28" w14:textId="151C1D2D" w:rsidR="00331E27" w:rsidRPr="000D1A3E" w:rsidRDefault="00331E27" w:rsidP="009E583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Na kontu 3121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nagrade djelatnicima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sredstva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nisu planirana i došlo je do odstupanja od plana.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Sredstva su odobrena i namjenski isplaćena.</w:t>
      </w:r>
    </w:p>
    <w:p w14:paraId="50267546" w14:textId="302DDDF1" w:rsidR="00331E27" w:rsidRPr="000D1A3E" w:rsidRDefault="00331E27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Na kontu 3237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Intelektualne i osobne usluge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. Došlo je do povećanja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zbog izvanredne krizne situacije u školi.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Plaćena je psihološka pomoć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učenika.</w:t>
      </w:r>
    </w:p>
    <w:p w14:paraId="6E6DE7DA" w14:textId="77777777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96485D8" w14:textId="77777777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</w:t>
      </w:r>
      <w:r w:rsidR="0060590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5.2.1.</w:t>
      </w:r>
    </w:p>
    <w:p w14:paraId="07BBAA9C" w14:textId="77777777" w:rsidR="009E583A" w:rsidRDefault="009E583A" w:rsidP="009E583A">
      <w:pPr>
        <w:spacing w:after="0" w:line="276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Na kontu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3111 u odnosu na planirana sredstva došlo je do povećanja koeficijenata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i plaća za djelatnike u školstvu.</w:t>
      </w:r>
    </w:p>
    <w:p w14:paraId="76CBB97F" w14:textId="5C1E0BE8" w:rsidR="00B61442" w:rsidRPr="000D1A3E" w:rsidRDefault="009E583A" w:rsidP="009E583A">
      <w:pPr>
        <w:spacing w:after="0" w:line="276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Na kontu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3113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u odnosu na plan došlo je do povećanja prekonormnih sati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zbog zamjena učestalih bolovanja djelatnika i pronalaska stručnog kadra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za odvijanje redovne nastave.</w:t>
      </w:r>
    </w:p>
    <w:p w14:paraId="0098462F" w14:textId="77777777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6CC93517" w14:textId="77777777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5.6.1.</w:t>
      </w:r>
    </w:p>
    <w:p w14:paraId="49B19785" w14:textId="2B6B0D74" w:rsidR="009E583A" w:rsidRDefault="009E583A" w:rsidP="009E583A">
      <w:pPr>
        <w:spacing w:after="0" w:line="276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Na kontu 4221 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–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uredska oprema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i namještaj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d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ošlo je do odstupanja zbog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neplaniranih sredstava,</w:t>
      </w:r>
      <w:r w:rsidR="001F3A9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>jer nismo znali da ćemo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dobiti novac za 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>opremu.</w:t>
      </w:r>
    </w:p>
    <w:p w14:paraId="73516153" w14:textId="77777777" w:rsidR="009E583A" w:rsidRPr="000D1A3E" w:rsidRDefault="009E583A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3B9CE3E9" w14:textId="7AA6D00A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1.2.2. Decentralizirana sredstva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za srednje škole.</w:t>
      </w:r>
    </w:p>
    <w:p w14:paraId="0CE033FF" w14:textId="35C812F1" w:rsidR="00B61442" w:rsidRPr="000D1A3E" w:rsidRDefault="00B61442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Na kontu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3238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računalne usluge došlo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je do odstupanja u odnosu na plan</w:t>
      </w:r>
      <w:r w:rsidR="00265F3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zbog malog poskupljena na koje se ne može utjecati.</w:t>
      </w:r>
    </w:p>
    <w:p w14:paraId="103762A8" w14:textId="1D7004A0" w:rsidR="00265F30" w:rsidRPr="000D1A3E" w:rsidRDefault="00265F30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lastRenderedPageBreak/>
        <w:t xml:space="preserve">              Na kontu 3221 – Uredsk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i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materijal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i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ostali materijalni rashodi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d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ošlo je do odstupanja 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>od plana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zbog poskupljenja materijala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i promjene dobavljača.</w:t>
      </w:r>
    </w:p>
    <w:p w14:paraId="37D0702B" w14:textId="6D6E2472" w:rsidR="00265F30" w:rsidRPr="000D1A3E" w:rsidRDefault="00265F30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Na kontu 3222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materijal i sirovine 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>d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ošlo je do odstupanja zbog više nabave materijala za praktičnu nastavu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za učenike.</w:t>
      </w:r>
    </w:p>
    <w:p w14:paraId="526BF0BF" w14:textId="35791DB4" w:rsidR="00A54C7D" w:rsidRPr="000D1A3E" w:rsidRDefault="00265F30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 Na kontu 3223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Energenti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d</w:t>
      </w:r>
      <w:r w:rsidR="00A54C7D" w:rsidRPr="000D1A3E">
        <w:rPr>
          <w:rFonts w:eastAsia="Times New Roman" w:cstheme="minorHAnsi"/>
          <w:bCs/>
          <w:sz w:val="24"/>
          <w:szCs w:val="24"/>
          <w:lang w:eastAsia="hr-HR"/>
        </w:rPr>
        <w:t>ošlo je do odstupanja zbog više potrošene električne i toplinske energije.</w:t>
      </w:r>
    </w:p>
    <w:p w14:paraId="11FFA209" w14:textId="027558A3" w:rsidR="00A54C7D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 Na kontu 3221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Naknade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za prijevoz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d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ošlo je do povećanja u odnosu na plan zbog putovanja djelatnika iz udaljenih mjesta gdje je cijena karte skuplja.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14:paraId="16F7F429" w14:textId="77777777" w:rsidR="00A54C7D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6290C644" w14:textId="44EFF5E1" w:rsidR="00A54C7D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Izvor 1.1.3. Održavanje i opremanje ustanova srednjeg školstva i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učeničkih domova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opći prihodi i primici.</w:t>
      </w:r>
    </w:p>
    <w:p w14:paraId="671309A0" w14:textId="5F85CF35" w:rsidR="00A54C7D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</w:t>
      </w:r>
      <w:r w:rsidR="009E583A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Na kontu 3111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–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plaće za asistente u nastavi nisu planirana sredstva od Grada Zagreba i tu je došlo do odstupanja. Sredstva su tokom razdoblja uredno stizala po zahtjevima i isplaćivana asistentima za obavljeni i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odrađeni posao.</w:t>
      </w:r>
    </w:p>
    <w:p w14:paraId="3D09E509" w14:textId="77777777" w:rsidR="000D1A3E" w:rsidRPr="000D1A3E" w:rsidRDefault="000D1A3E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606520AE" w14:textId="3FA46A41" w:rsidR="00A54C7D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>Grad je uredno tokom godine slao sredstva kojima smo mogli uredno podmirivati svoje obveze prema dobavljačima.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Iz priloženog je jasno da su</w:t>
      </w:r>
      <w:r w:rsidR="00D809D7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odstupanja minimalna</w:t>
      </w:r>
      <w:r w:rsidR="000D1A3E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D809D7" w:rsidRPr="000D1A3E">
        <w:rPr>
          <w:rFonts w:eastAsia="Times New Roman" w:cstheme="minorHAnsi"/>
          <w:bCs/>
          <w:sz w:val="24"/>
          <w:szCs w:val="24"/>
          <w:lang w:eastAsia="hr-HR"/>
        </w:rPr>
        <w:t>u odnosu na planirana sredstva.</w:t>
      </w:r>
    </w:p>
    <w:p w14:paraId="218D0D3E" w14:textId="3B41BDE5" w:rsidR="000D1A3E" w:rsidRPr="000D1A3E" w:rsidRDefault="000D1A3E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641EC0C6" w14:textId="77777777" w:rsidR="000D1A3E" w:rsidRPr="000D1A3E" w:rsidRDefault="000D1A3E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22A3A015" w14:textId="77777777" w:rsidR="00B61442" w:rsidRPr="000D1A3E" w:rsidRDefault="00A54C7D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</w:t>
      </w:r>
      <w:r w:rsidR="00B61442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</w:t>
      </w:r>
      <w:r w:rsidR="001D4B40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                                                    Ravnatelj,</w:t>
      </w:r>
    </w:p>
    <w:p w14:paraId="7A411C8B" w14:textId="220CB20A" w:rsidR="001D4B40" w:rsidRPr="000D1A3E" w:rsidRDefault="001D4B40" w:rsidP="003E2C5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Stjepan Mudifaj,</w:t>
      </w:r>
      <w:r w:rsidR="00F90943" w:rsidRPr="000D1A3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0D1A3E">
        <w:rPr>
          <w:rFonts w:eastAsia="Times New Roman" w:cstheme="minorHAnsi"/>
          <w:bCs/>
          <w:sz w:val="24"/>
          <w:szCs w:val="24"/>
          <w:lang w:eastAsia="hr-HR"/>
        </w:rPr>
        <w:t>prof.</w:t>
      </w:r>
    </w:p>
    <w:p w14:paraId="14506310" w14:textId="428232A9" w:rsidR="003B2321" w:rsidRPr="000D1A3E" w:rsidRDefault="003B2321" w:rsidP="00113016">
      <w:pPr>
        <w:jc w:val="both"/>
        <w:rPr>
          <w:rFonts w:cstheme="minorHAnsi"/>
          <w:sz w:val="24"/>
          <w:szCs w:val="24"/>
        </w:rPr>
      </w:pPr>
    </w:p>
    <w:sectPr w:rsidR="003B2321" w:rsidRPr="000D1A3E" w:rsidSect="00FE3D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7A95" w14:textId="77777777" w:rsidR="00EE3DFE" w:rsidRDefault="00EE3DFE" w:rsidP="00FE3DA6">
      <w:pPr>
        <w:spacing w:after="0" w:line="240" w:lineRule="auto"/>
      </w:pPr>
      <w:r>
        <w:separator/>
      </w:r>
    </w:p>
  </w:endnote>
  <w:endnote w:type="continuationSeparator" w:id="0">
    <w:p w14:paraId="4521FD9A" w14:textId="77777777" w:rsidR="00EE3DFE" w:rsidRDefault="00EE3DFE" w:rsidP="00F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470470"/>
      <w:docPartObj>
        <w:docPartGallery w:val="Page Numbers (Bottom of Page)"/>
        <w:docPartUnique/>
      </w:docPartObj>
    </w:sdtPr>
    <w:sdtEndPr/>
    <w:sdtContent>
      <w:p w14:paraId="39AD13CE" w14:textId="77777777" w:rsidR="00FE3DA6" w:rsidRDefault="00FE3D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B1">
          <w:rPr>
            <w:noProof/>
          </w:rPr>
          <w:t>4</w:t>
        </w:r>
        <w:r>
          <w:fldChar w:fldCharType="end"/>
        </w:r>
      </w:p>
    </w:sdtContent>
  </w:sdt>
  <w:p w14:paraId="3FDD88E6" w14:textId="77777777" w:rsidR="00FE3DA6" w:rsidRDefault="00FE3D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3916" w14:textId="77777777" w:rsidR="00EE3DFE" w:rsidRDefault="00EE3DFE" w:rsidP="00FE3DA6">
      <w:pPr>
        <w:spacing w:after="0" w:line="240" w:lineRule="auto"/>
      </w:pPr>
      <w:r>
        <w:separator/>
      </w:r>
    </w:p>
  </w:footnote>
  <w:footnote w:type="continuationSeparator" w:id="0">
    <w:p w14:paraId="25CDD64C" w14:textId="77777777" w:rsidR="00EE3DFE" w:rsidRDefault="00EE3DFE" w:rsidP="00FE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370"/>
    <w:multiLevelType w:val="hybridMultilevel"/>
    <w:tmpl w:val="C95A10B0"/>
    <w:lvl w:ilvl="0" w:tplc="F702A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532"/>
    <w:multiLevelType w:val="hybridMultilevel"/>
    <w:tmpl w:val="30384492"/>
    <w:lvl w:ilvl="0" w:tplc="36CCB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C15"/>
    <w:multiLevelType w:val="hybridMultilevel"/>
    <w:tmpl w:val="1D36E612"/>
    <w:lvl w:ilvl="0" w:tplc="D61EB9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0F16CE"/>
    <w:multiLevelType w:val="hybridMultilevel"/>
    <w:tmpl w:val="0CBCF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1DA2"/>
    <w:multiLevelType w:val="hybridMultilevel"/>
    <w:tmpl w:val="21228A5C"/>
    <w:lvl w:ilvl="0" w:tplc="CCB0F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569AE"/>
    <w:multiLevelType w:val="hybridMultilevel"/>
    <w:tmpl w:val="708AD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2C78"/>
    <w:multiLevelType w:val="hybridMultilevel"/>
    <w:tmpl w:val="50F64AEA"/>
    <w:lvl w:ilvl="0" w:tplc="9D0A2E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5950"/>
    <w:multiLevelType w:val="hybridMultilevel"/>
    <w:tmpl w:val="6A70D2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7"/>
    <w:rsid w:val="000242FD"/>
    <w:rsid w:val="00037E95"/>
    <w:rsid w:val="00041332"/>
    <w:rsid w:val="000416CC"/>
    <w:rsid w:val="0006271C"/>
    <w:rsid w:val="00072069"/>
    <w:rsid w:val="00074234"/>
    <w:rsid w:val="000B2707"/>
    <w:rsid w:val="000D1A3E"/>
    <w:rsid w:val="000D20E7"/>
    <w:rsid w:val="000F0A7C"/>
    <w:rsid w:val="00105BC1"/>
    <w:rsid w:val="00113016"/>
    <w:rsid w:val="00116B82"/>
    <w:rsid w:val="00143155"/>
    <w:rsid w:val="00156A37"/>
    <w:rsid w:val="00191CF2"/>
    <w:rsid w:val="001C65C6"/>
    <w:rsid w:val="001D4B40"/>
    <w:rsid w:val="001F3A90"/>
    <w:rsid w:val="00207CFF"/>
    <w:rsid w:val="00220000"/>
    <w:rsid w:val="00222D49"/>
    <w:rsid w:val="002233FC"/>
    <w:rsid w:val="00265F30"/>
    <w:rsid w:val="00277917"/>
    <w:rsid w:val="00290960"/>
    <w:rsid w:val="00294731"/>
    <w:rsid w:val="002971AA"/>
    <w:rsid w:val="002C204C"/>
    <w:rsid w:val="002D7957"/>
    <w:rsid w:val="002F015B"/>
    <w:rsid w:val="00307B0E"/>
    <w:rsid w:val="0031674F"/>
    <w:rsid w:val="00331E27"/>
    <w:rsid w:val="00333E63"/>
    <w:rsid w:val="00356BE0"/>
    <w:rsid w:val="00362CAB"/>
    <w:rsid w:val="00366EE5"/>
    <w:rsid w:val="003A5CC6"/>
    <w:rsid w:val="003B2321"/>
    <w:rsid w:val="003C4EC2"/>
    <w:rsid w:val="003E00F5"/>
    <w:rsid w:val="003E01CD"/>
    <w:rsid w:val="003E2C5A"/>
    <w:rsid w:val="004052E0"/>
    <w:rsid w:val="00414C5C"/>
    <w:rsid w:val="00417AD1"/>
    <w:rsid w:val="00425B05"/>
    <w:rsid w:val="00431874"/>
    <w:rsid w:val="00451FD4"/>
    <w:rsid w:val="0047131C"/>
    <w:rsid w:val="00471DC7"/>
    <w:rsid w:val="00473A46"/>
    <w:rsid w:val="00483305"/>
    <w:rsid w:val="004A1BE8"/>
    <w:rsid w:val="004B1A46"/>
    <w:rsid w:val="004E00A1"/>
    <w:rsid w:val="00517A1C"/>
    <w:rsid w:val="00586382"/>
    <w:rsid w:val="0059167E"/>
    <w:rsid w:val="005A4565"/>
    <w:rsid w:val="005A530D"/>
    <w:rsid w:val="005A74E6"/>
    <w:rsid w:val="005B7EFB"/>
    <w:rsid w:val="005D29AB"/>
    <w:rsid w:val="005D59FE"/>
    <w:rsid w:val="005E3F87"/>
    <w:rsid w:val="005F14FD"/>
    <w:rsid w:val="00605900"/>
    <w:rsid w:val="00621C15"/>
    <w:rsid w:val="0062430A"/>
    <w:rsid w:val="0062442A"/>
    <w:rsid w:val="006316D1"/>
    <w:rsid w:val="00643841"/>
    <w:rsid w:val="00692A48"/>
    <w:rsid w:val="006A5394"/>
    <w:rsid w:val="006D039D"/>
    <w:rsid w:val="006D579A"/>
    <w:rsid w:val="00700EB5"/>
    <w:rsid w:val="0071262D"/>
    <w:rsid w:val="007131DD"/>
    <w:rsid w:val="00715FBD"/>
    <w:rsid w:val="00727B41"/>
    <w:rsid w:val="0074473B"/>
    <w:rsid w:val="007536A2"/>
    <w:rsid w:val="00756E65"/>
    <w:rsid w:val="00761E7E"/>
    <w:rsid w:val="0076487F"/>
    <w:rsid w:val="00770E66"/>
    <w:rsid w:val="007A231B"/>
    <w:rsid w:val="007A44FE"/>
    <w:rsid w:val="007B0655"/>
    <w:rsid w:val="007C6E33"/>
    <w:rsid w:val="00802909"/>
    <w:rsid w:val="00815630"/>
    <w:rsid w:val="00856CBA"/>
    <w:rsid w:val="008572CF"/>
    <w:rsid w:val="00863195"/>
    <w:rsid w:val="00864116"/>
    <w:rsid w:val="008644A7"/>
    <w:rsid w:val="008706F0"/>
    <w:rsid w:val="008718FB"/>
    <w:rsid w:val="00876F06"/>
    <w:rsid w:val="008837C3"/>
    <w:rsid w:val="008A25A0"/>
    <w:rsid w:val="009022C6"/>
    <w:rsid w:val="00913890"/>
    <w:rsid w:val="00981C47"/>
    <w:rsid w:val="00987D41"/>
    <w:rsid w:val="00991E08"/>
    <w:rsid w:val="00992E49"/>
    <w:rsid w:val="00996BC1"/>
    <w:rsid w:val="00997B7B"/>
    <w:rsid w:val="009A3B90"/>
    <w:rsid w:val="009D139C"/>
    <w:rsid w:val="009D5174"/>
    <w:rsid w:val="009E583A"/>
    <w:rsid w:val="009F755D"/>
    <w:rsid w:val="00A25C8D"/>
    <w:rsid w:val="00A26BD3"/>
    <w:rsid w:val="00A44349"/>
    <w:rsid w:val="00A54C7D"/>
    <w:rsid w:val="00A80D55"/>
    <w:rsid w:val="00A82E87"/>
    <w:rsid w:val="00A95525"/>
    <w:rsid w:val="00A95F95"/>
    <w:rsid w:val="00AA2F9C"/>
    <w:rsid w:val="00AA725F"/>
    <w:rsid w:val="00AD4B47"/>
    <w:rsid w:val="00AE0BB4"/>
    <w:rsid w:val="00AE47BC"/>
    <w:rsid w:val="00AF064F"/>
    <w:rsid w:val="00AF0D9D"/>
    <w:rsid w:val="00AF3354"/>
    <w:rsid w:val="00AF4EED"/>
    <w:rsid w:val="00B106C8"/>
    <w:rsid w:val="00B17C13"/>
    <w:rsid w:val="00B23709"/>
    <w:rsid w:val="00B322D6"/>
    <w:rsid w:val="00B61442"/>
    <w:rsid w:val="00BA58F9"/>
    <w:rsid w:val="00BB54F6"/>
    <w:rsid w:val="00BC1CA0"/>
    <w:rsid w:val="00BC7854"/>
    <w:rsid w:val="00BE0E7C"/>
    <w:rsid w:val="00BE496B"/>
    <w:rsid w:val="00BF644A"/>
    <w:rsid w:val="00C0068C"/>
    <w:rsid w:val="00C2600F"/>
    <w:rsid w:val="00C36D97"/>
    <w:rsid w:val="00C40970"/>
    <w:rsid w:val="00C522FE"/>
    <w:rsid w:val="00C54AE0"/>
    <w:rsid w:val="00C64596"/>
    <w:rsid w:val="00C7046F"/>
    <w:rsid w:val="00C73A9E"/>
    <w:rsid w:val="00C80950"/>
    <w:rsid w:val="00CA2E16"/>
    <w:rsid w:val="00CA3F89"/>
    <w:rsid w:val="00CA67D1"/>
    <w:rsid w:val="00CE16CA"/>
    <w:rsid w:val="00CE1A9E"/>
    <w:rsid w:val="00CE7321"/>
    <w:rsid w:val="00CF1072"/>
    <w:rsid w:val="00D12237"/>
    <w:rsid w:val="00D1799C"/>
    <w:rsid w:val="00D206F6"/>
    <w:rsid w:val="00D302F9"/>
    <w:rsid w:val="00D54769"/>
    <w:rsid w:val="00D562FD"/>
    <w:rsid w:val="00D64CFE"/>
    <w:rsid w:val="00D809D7"/>
    <w:rsid w:val="00D9527C"/>
    <w:rsid w:val="00DA6D77"/>
    <w:rsid w:val="00DB0C36"/>
    <w:rsid w:val="00DB2DCE"/>
    <w:rsid w:val="00DC0950"/>
    <w:rsid w:val="00DC6FDA"/>
    <w:rsid w:val="00E044BF"/>
    <w:rsid w:val="00E06E09"/>
    <w:rsid w:val="00E118AE"/>
    <w:rsid w:val="00E12792"/>
    <w:rsid w:val="00E14CF3"/>
    <w:rsid w:val="00E34506"/>
    <w:rsid w:val="00E442BA"/>
    <w:rsid w:val="00E6170C"/>
    <w:rsid w:val="00E626BA"/>
    <w:rsid w:val="00E64448"/>
    <w:rsid w:val="00E93A9E"/>
    <w:rsid w:val="00EA759A"/>
    <w:rsid w:val="00EB12F5"/>
    <w:rsid w:val="00EC31BA"/>
    <w:rsid w:val="00ED19CC"/>
    <w:rsid w:val="00EE3DFE"/>
    <w:rsid w:val="00EE41B3"/>
    <w:rsid w:val="00EF38E2"/>
    <w:rsid w:val="00EF5205"/>
    <w:rsid w:val="00F15CB1"/>
    <w:rsid w:val="00F27F17"/>
    <w:rsid w:val="00F36336"/>
    <w:rsid w:val="00F41FB2"/>
    <w:rsid w:val="00F6104C"/>
    <w:rsid w:val="00F90943"/>
    <w:rsid w:val="00F90AA6"/>
    <w:rsid w:val="00FD5E77"/>
    <w:rsid w:val="00FE3DA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85C4"/>
  <w15:chartTrackingRefBased/>
  <w15:docId w15:val="{CC032D73-BB05-47BC-871F-6C5B5D0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0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3DA6"/>
  </w:style>
  <w:style w:type="paragraph" w:styleId="Podnoje">
    <w:name w:val="footer"/>
    <w:basedOn w:val="Normal"/>
    <w:link w:val="Podno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3DA6"/>
  </w:style>
  <w:style w:type="paragraph" w:styleId="Tekstbalonia">
    <w:name w:val="Balloon Text"/>
    <w:basedOn w:val="Normal"/>
    <w:link w:val="TekstbaloniaChar"/>
    <w:uiPriority w:val="99"/>
    <w:semiHidden/>
    <w:unhideWhenUsed/>
    <w:rsid w:val="002C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A2BE-0909-4F40-AFB5-45E8243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Leko</cp:lastModifiedBy>
  <cp:revision>46</cp:revision>
  <cp:lastPrinted>2023-07-07T10:27:00Z</cp:lastPrinted>
  <dcterms:created xsi:type="dcterms:W3CDTF">2023-07-14T06:41:00Z</dcterms:created>
  <dcterms:modified xsi:type="dcterms:W3CDTF">2025-02-19T07:24:00Z</dcterms:modified>
</cp:coreProperties>
</file>